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94" w:rsidRPr="00510EB3" w:rsidRDefault="00AF4F94" w:rsidP="00AF4F94">
      <w:pPr>
        <w:jc w:val="center"/>
        <w:rPr>
          <w:b/>
          <w:lang w:val="es-AR"/>
        </w:rPr>
      </w:pPr>
      <w:r w:rsidRPr="00510EB3">
        <w:rPr>
          <w:b/>
          <w:lang w:val="es-AR"/>
        </w:rPr>
        <w:t>CONSEJO SUPERIOR</w:t>
      </w:r>
    </w:p>
    <w:p w:rsidR="00AF4F94" w:rsidRDefault="00FC5849" w:rsidP="00AF4F94">
      <w:pPr>
        <w:jc w:val="center"/>
        <w:rPr>
          <w:b/>
          <w:lang w:val="es-AR"/>
        </w:rPr>
      </w:pPr>
      <w:r w:rsidRPr="00510EB3">
        <w:rPr>
          <w:b/>
          <w:lang w:val="es-AR"/>
        </w:rPr>
        <w:t>CIRCULAR N</w:t>
      </w:r>
      <w:r w:rsidR="00BB2180" w:rsidRPr="00510EB3">
        <w:rPr>
          <w:b/>
          <w:lang w:val="es-AR"/>
        </w:rPr>
        <w:t>º</w:t>
      </w:r>
      <w:r w:rsidRPr="00510EB3">
        <w:rPr>
          <w:b/>
          <w:lang w:val="es-AR"/>
        </w:rPr>
        <w:t xml:space="preserve"> </w:t>
      </w:r>
      <w:r w:rsidR="00741649" w:rsidRPr="00510EB3">
        <w:rPr>
          <w:b/>
          <w:lang w:val="es-AR"/>
        </w:rPr>
        <w:t>6</w:t>
      </w:r>
      <w:r w:rsidR="00E448B7" w:rsidRPr="00510EB3">
        <w:rPr>
          <w:b/>
          <w:lang w:val="es-AR"/>
        </w:rPr>
        <w:t>7</w:t>
      </w:r>
      <w:r w:rsidR="00510EB3" w:rsidRPr="00510EB3">
        <w:rPr>
          <w:b/>
          <w:lang w:val="es-AR"/>
        </w:rPr>
        <w:t>4</w:t>
      </w:r>
      <w:r w:rsidR="00E448B7" w:rsidRPr="00510EB3">
        <w:rPr>
          <w:b/>
          <w:lang w:val="es-AR"/>
        </w:rPr>
        <w:t>8</w:t>
      </w:r>
      <w:r w:rsidR="00CA37B0" w:rsidRPr="00510EB3">
        <w:rPr>
          <w:b/>
          <w:lang w:val="es-AR"/>
        </w:rPr>
        <w:t xml:space="preserve"> </w:t>
      </w:r>
      <w:r w:rsidR="00AF4F94" w:rsidRPr="00510EB3">
        <w:rPr>
          <w:b/>
          <w:lang w:val="es-AR"/>
        </w:rPr>
        <w:t>(</w:t>
      </w:r>
      <w:r w:rsidR="00510EB3" w:rsidRPr="00510EB3">
        <w:rPr>
          <w:b/>
          <w:lang w:val="es-AR"/>
        </w:rPr>
        <w:t>14</w:t>
      </w:r>
      <w:r w:rsidR="00BD1396" w:rsidRPr="00510EB3">
        <w:rPr>
          <w:b/>
          <w:lang w:val="es-AR"/>
        </w:rPr>
        <w:t>/</w:t>
      </w:r>
      <w:r w:rsidR="00DF401D" w:rsidRPr="00510EB3">
        <w:rPr>
          <w:b/>
          <w:lang w:val="es-AR"/>
        </w:rPr>
        <w:t>2</w:t>
      </w:r>
      <w:r w:rsidR="00BD1396" w:rsidRPr="00510EB3">
        <w:rPr>
          <w:b/>
          <w:lang w:val="es-AR"/>
        </w:rPr>
        <w:t>/</w:t>
      </w:r>
      <w:r w:rsidR="00510EB3" w:rsidRPr="00510EB3">
        <w:rPr>
          <w:b/>
          <w:lang w:val="es-AR"/>
        </w:rPr>
        <w:t>20</w:t>
      </w:r>
      <w:r w:rsidR="00AF4F94" w:rsidRPr="00510EB3">
        <w:rPr>
          <w:b/>
          <w:lang w:val="es-AR"/>
        </w:rPr>
        <w:t>)</w:t>
      </w:r>
    </w:p>
    <w:p w:rsidR="00510EB3" w:rsidRDefault="00510EB3" w:rsidP="00AF4F94">
      <w:pPr>
        <w:jc w:val="center"/>
        <w:rPr>
          <w:b/>
          <w:lang w:val="es-AR"/>
        </w:rPr>
      </w:pPr>
    </w:p>
    <w:p w:rsidR="00510EB3" w:rsidRPr="00510EB3" w:rsidRDefault="00510EB3" w:rsidP="00AF4F94">
      <w:pPr>
        <w:jc w:val="center"/>
        <w:rPr>
          <w:b/>
          <w:lang w:val="es-AR"/>
        </w:rPr>
      </w:pPr>
    </w:p>
    <w:p w:rsidR="00510EB3" w:rsidRDefault="00510EB3" w:rsidP="00013813">
      <w:pPr>
        <w:jc w:val="center"/>
        <w:rPr>
          <w:rStyle w:val="Textoennegrita"/>
          <w:color w:val="000000"/>
          <w:u w:val="single"/>
        </w:rPr>
      </w:pPr>
      <w:r w:rsidRPr="00510EB3">
        <w:rPr>
          <w:rStyle w:val="Textoennegrita"/>
          <w:color w:val="000000"/>
          <w:u w:val="single"/>
        </w:rPr>
        <w:t>PROTECCIÓN DEL ESTUDIO PROFESIONAL</w:t>
      </w:r>
    </w:p>
    <w:p w:rsidR="00BB2180" w:rsidRPr="00510EB3" w:rsidRDefault="00510EB3" w:rsidP="00013813">
      <w:pPr>
        <w:jc w:val="center"/>
        <w:rPr>
          <w:b/>
          <w:lang w:val="es-AR"/>
        </w:rPr>
      </w:pPr>
      <w:r w:rsidRPr="00510EB3">
        <w:rPr>
          <w:rStyle w:val="Textoennegrita"/>
          <w:color w:val="000000"/>
          <w:u w:val="single"/>
        </w:rPr>
        <w:t>(ART. 69 DE LA LEY 5177)</w:t>
      </w:r>
    </w:p>
    <w:p w:rsidR="00DF401D" w:rsidRPr="00510EB3" w:rsidRDefault="00DF401D" w:rsidP="00013813">
      <w:pPr>
        <w:jc w:val="center"/>
        <w:rPr>
          <w:b/>
          <w:lang w:val="es-AR"/>
        </w:rPr>
      </w:pPr>
    </w:p>
    <w:p w:rsidR="00740872" w:rsidRDefault="006352D3" w:rsidP="00510EB3">
      <w:pPr>
        <w:jc w:val="both"/>
        <w:rPr>
          <w:b/>
          <w:lang w:val="es-AR"/>
        </w:rPr>
      </w:pPr>
      <w:r w:rsidRPr="00510EB3">
        <w:rPr>
          <w:b/>
          <w:lang w:val="es-AR"/>
        </w:rPr>
        <w:t>Texto de la r</w:t>
      </w:r>
      <w:r w:rsidR="0008767F" w:rsidRPr="00510EB3">
        <w:rPr>
          <w:b/>
          <w:lang w:val="es-AR"/>
        </w:rPr>
        <w:t>esolución adoptada por el Consejo Superior</w:t>
      </w:r>
      <w:r w:rsidR="00DF401D" w:rsidRPr="00510EB3">
        <w:rPr>
          <w:b/>
          <w:lang w:val="es-AR"/>
        </w:rPr>
        <w:t xml:space="preserve"> en su reunión ordinaria del 19 de diciembre de 20</w:t>
      </w:r>
      <w:r w:rsidR="00510EB3">
        <w:rPr>
          <w:b/>
          <w:lang w:val="es-AR"/>
        </w:rPr>
        <w:t>19.</w:t>
      </w:r>
    </w:p>
    <w:p w:rsidR="00510EB3" w:rsidRPr="00510EB3" w:rsidRDefault="00510EB3" w:rsidP="00013813">
      <w:pPr>
        <w:jc w:val="center"/>
        <w:rPr>
          <w:b/>
          <w:lang w:val="es-AR"/>
        </w:rPr>
      </w:pPr>
    </w:p>
    <w:p w:rsidR="00B67DA3" w:rsidRPr="00510EB3" w:rsidRDefault="00B67DA3" w:rsidP="00B67DA3">
      <w:pPr>
        <w:jc w:val="both"/>
        <w:rPr>
          <w:lang w:val="es-AR"/>
        </w:rPr>
      </w:pPr>
      <w:r w:rsidRPr="00510EB3">
        <w:rPr>
          <w:b/>
          <w:i/>
          <w:u w:val="single"/>
          <w:lang w:val="es-AR"/>
        </w:rPr>
        <w:t>NUMERO 280/19</w:t>
      </w:r>
      <w:r w:rsidRPr="00510EB3">
        <w:rPr>
          <w:b/>
          <w:i/>
          <w:lang w:val="es-AR"/>
        </w:rPr>
        <w:t>:</w:t>
      </w:r>
      <w:r w:rsidRPr="00510EB3">
        <w:rPr>
          <w:lang w:val="es-AR"/>
        </w:rPr>
        <w:tab/>
      </w:r>
      <w:r w:rsidRPr="00510EB3">
        <w:rPr>
          <w:lang w:val="es-AR"/>
        </w:rPr>
        <w:tab/>
        <w:t>Asimismo, se pone a tratamiento un proyecto de resolución elaborado por la Comisión de Informática del COLPROBA, sobre cuestiones vinculadas al allanamiento del estudio jurídico en la actualidad y la redefinición de lo que se entiende por estudio jurídico, luego de un cambio de opiniones, se aprueba por unanimidad la siguiente resolución (art. 50 inc. i) de la Ley 5177):</w:t>
      </w:r>
    </w:p>
    <w:p w:rsidR="00B67DA3" w:rsidRPr="00510EB3" w:rsidRDefault="00B67DA3" w:rsidP="00B67DA3">
      <w:pPr>
        <w:jc w:val="both"/>
        <w:rPr>
          <w:lang w:val="es-AR"/>
        </w:rPr>
      </w:pPr>
    </w:p>
    <w:p w:rsidR="00B67DA3" w:rsidRPr="00510EB3" w:rsidRDefault="00B67DA3" w:rsidP="00B67DA3">
      <w:pPr>
        <w:jc w:val="both"/>
        <w:rPr>
          <w:lang w:val="es-AR"/>
        </w:rPr>
      </w:pPr>
      <w:r w:rsidRPr="00510EB3">
        <w:rPr>
          <w:lang w:val="es-AR"/>
        </w:rPr>
        <w:t xml:space="preserve">VISTO que el art. 69 de la Ley 5177 establece que: </w:t>
      </w:r>
      <w:r w:rsidRPr="00510EB3">
        <w:rPr>
          <w:i/>
          <w:lang w:val="es-AR"/>
        </w:rPr>
        <w:t>“El estudio profesional es inviolable, en resguardo de la garantía constitucional de la defensa en juicio y del secreto profesional. En caso de allanamiento dispuesto por autoridad competente, deberá darse aviso, bajo pena de nulidad, al Colegio de Abogados del domicilio donde se practique la medida, el cual podrá estar presente durante su realización. El abogado podrá solicitar la presencia de un miembro del Consejo Directivo durante el procedimiento, sin que ello implique suspenderlo”</w:t>
      </w:r>
      <w:r w:rsidRPr="00510EB3">
        <w:rPr>
          <w:lang w:val="es-AR"/>
        </w:rPr>
        <w:t>.</w:t>
      </w:r>
    </w:p>
    <w:p w:rsidR="00B67DA3" w:rsidRPr="00510EB3" w:rsidRDefault="00B67DA3" w:rsidP="00B67DA3">
      <w:pPr>
        <w:jc w:val="both"/>
        <w:rPr>
          <w:lang w:val="es-AR"/>
        </w:rPr>
      </w:pPr>
    </w:p>
    <w:p w:rsidR="00B67DA3" w:rsidRPr="00510EB3" w:rsidRDefault="00B67DA3" w:rsidP="00B67DA3">
      <w:pPr>
        <w:jc w:val="both"/>
        <w:rPr>
          <w:lang w:val="es-AR"/>
        </w:rPr>
      </w:pPr>
      <w:r w:rsidRPr="00510EB3">
        <w:rPr>
          <w:lang w:val="es-AR"/>
        </w:rPr>
        <w:t>Y CONSIDERANDO:</w:t>
      </w:r>
    </w:p>
    <w:p w:rsidR="00B67DA3" w:rsidRPr="00510EB3" w:rsidRDefault="00B67DA3" w:rsidP="00B67DA3">
      <w:pPr>
        <w:jc w:val="both"/>
        <w:rPr>
          <w:lang w:val="es-AR"/>
        </w:rPr>
      </w:pPr>
      <w:r w:rsidRPr="00510EB3">
        <w:rPr>
          <w:lang w:val="es-AR"/>
        </w:rPr>
        <w:tab/>
        <w:t>Que la norma mencionada dispone con meridiana claridad la inviolabilidad del estudio jurídico y/o profesional, en resguardo de la garantía constitucional de defensa en juicio y el secreto profesional.</w:t>
      </w:r>
    </w:p>
    <w:p w:rsidR="00B67DA3" w:rsidRPr="00510EB3" w:rsidRDefault="00B67DA3" w:rsidP="00B67DA3">
      <w:pPr>
        <w:jc w:val="both"/>
        <w:rPr>
          <w:lang w:val="es-AR"/>
        </w:rPr>
      </w:pPr>
      <w:r w:rsidRPr="00510EB3">
        <w:rPr>
          <w:lang w:val="es-AR"/>
        </w:rPr>
        <w:tab/>
        <w:t>Que la transformación digital ha permitido que la documentación sea manipulada no solamente en formato físico y que la misma muchas veces ni siquiera se encuentre alojada en un soporte físico, sino que puede encontrarse en servicios en la nube, para acceder a la misma desde cualquier computadora o smartphone.</w:t>
      </w:r>
    </w:p>
    <w:p w:rsidR="00B67DA3" w:rsidRPr="00510EB3" w:rsidRDefault="00B67DA3" w:rsidP="00B67DA3">
      <w:pPr>
        <w:jc w:val="both"/>
        <w:rPr>
          <w:lang w:val="es-AR"/>
        </w:rPr>
      </w:pPr>
      <w:r w:rsidRPr="00510EB3">
        <w:rPr>
          <w:lang w:val="es-AR"/>
        </w:rPr>
        <w:tab/>
        <w:t>Que en el mismo sentido, la forma de vinculación entre el abogado y su cliente, el intercambio de documentación con los mismos y las comunicaciones vinculadas al ejercicio profesional, han migrado en la actualidad hacia plataformas digitales, servicios de mensajería instantánea y correo electrónico.</w:t>
      </w:r>
    </w:p>
    <w:p w:rsidR="00B67DA3" w:rsidRPr="00510EB3" w:rsidRDefault="00B67DA3" w:rsidP="00B67DA3">
      <w:pPr>
        <w:jc w:val="both"/>
        <w:rPr>
          <w:lang w:val="es-AR"/>
        </w:rPr>
      </w:pPr>
      <w:r w:rsidRPr="00510EB3">
        <w:rPr>
          <w:lang w:val="es-AR"/>
        </w:rPr>
        <w:tab/>
        <w:t>Que a fin de resguardar el secreto profesional, y con ello el libre ejercicio profesional de la abogacía, corresponde redefinir el concepto de “estudio profesional”, y en consecuencia, la protección del mismo.</w:t>
      </w:r>
    </w:p>
    <w:p w:rsidR="00B67DA3" w:rsidRPr="00510EB3" w:rsidRDefault="00B67DA3" w:rsidP="00B67DA3">
      <w:pPr>
        <w:jc w:val="both"/>
        <w:rPr>
          <w:lang w:val="es-AR"/>
        </w:rPr>
      </w:pPr>
      <w:r w:rsidRPr="00510EB3">
        <w:rPr>
          <w:lang w:val="es-AR"/>
        </w:rPr>
        <w:tab/>
        <w:t>Que por dichas razones el estudio jurídico y/o profesional trasciende un ámbito edilicio o físico, y su inviolabilidad debe extenderse a los servicios en la nube donde se aloje información sensible, redes sociales, servicios de mensajería instantánea, servicios de correo electrónico, y todo el hardware necesario para utilizar medios tecnológicos de comunicación y/o gestión documental.</w:t>
      </w:r>
    </w:p>
    <w:p w:rsidR="00B67DA3" w:rsidRPr="00510EB3" w:rsidRDefault="00B67DA3" w:rsidP="00B67DA3">
      <w:pPr>
        <w:jc w:val="both"/>
        <w:rPr>
          <w:lang w:val="es-AR"/>
        </w:rPr>
      </w:pPr>
      <w:r w:rsidRPr="00510EB3">
        <w:rPr>
          <w:lang w:val="es-AR"/>
        </w:rPr>
        <w:tab/>
        <w:t xml:space="preserve">Que bajo esa premisa tanto el allanamiento y/o registro de inmuebles, así como interceptación de comunicaciones por cualquier medio, en las que participe un matriculado en ejercicio de la profesión, y/o el secuestro de todo tipo de hardware, afectado aunque sea parcialmente al ejercicio profesional, deberá contar con el adecuado contralor del Colegio de Abogados correspondiente, en los términos del art. 69 mencionado, ya sea al momento </w:t>
      </w:r>
      <w:r w:rsidRPr="00510EB3">
        <w:rPr>
          <w:lang w:val="es-AR"/>
        </w:rPr>
        <w:lastRenderedPageBreak/>
        <w:t xml:space="preserve">de desarrollarse la actividad jurisdiccional o con posterioridad, de acuerdo a las características particulares del caso. </w:t>
      </w:r>
    </w:p>
    <w:p w:rsidR="00B67DA3" w:rsidRPr="00510EB3" w:rsidRDefault="00B67DA3" w:rsidP="00B67DA3">
      <w:pPr>
        <w:jc w:val="both"/>
        <w:rPr>
          <w:lang w:val="es-AR"/>
        </w:rPr>
      </w:pPr>
    </w:p>
    <w:p w:rsidR="00B67DA3" w:rsidRPr="00510EB3" w:rsidRDefault="00B67DA3" w:rsidP="00B67DA3">
      <w:pPr>
        <w:jc w:val="both"/>
        <w:rPr>
          <w:lang w:val="es-AR"/>
        </w:rPr>
      </w:pPr>
      <w:r w:rsidRPr="00510EB3">
        <w:rPr>
          <w:lang w:val="es-AR"/>
        </w:rPr>
        <w:t>POR ELLO se resuelve por unanimidad (art. 50 inc. i) de la Ley 5177):</w:t>
      </w:r>
    </w:p>
    <w:p w:rsidR="00B67DA3" w:rsidRPr="00510EB3" w:rsidRDefault="00B67DA3" w:rsidP="00B67DA3">
      <w:pPr>
        <w:jc w:val="both"/>
        <w:rPr>
          <w:lang w:val="es-AR"/>
        </w:rPr>
      </w:pPr>
    </w:p>
    <w:p w:rsidR="00B67DA3" w:rsidRPr="00510EB3" w:rsidRDefault="00B67DA3" w:rsidP="00B67DA3">
      <w:pPr>
        <w:jc w:val="both"/>
        <w:rPr>
          <w:lang w:val="es-AR"/>
        </w:rPr>
      </w:pPr>
      <w:r w:rsidRPr="00510EB3">
        <w:rPr>
          <w:lang w:val="es-AR"/>
        </w:rPr>
        <w:t>1º) Establecer que a los fines previstos en el art. 69 de la Ley 5177 cabe considerar como “estudio profesional” al conjunto de bienes materiales, inmateriales, digitales, electrónicos y de todos aquellos soportes utilizados por los profesionales para llevar a cabo sus tareas.</w:t>
      </w:r>
    </w:p>
    <w:p w:rsidR="00B67DA3" w:rsidRPr="00510EB3" w:rsidRDefault="00B67DA3" w:rsidP="00B67DA3">
      <w:pPr>
        <w:jc w:val="both"/>
        <w:rPr>
          <w:lang w:val="es-AR"/>
        </w:rPr>
      </w:pPr>
    </w:p>
    <w:p w:rsidR="00B67DA3" w:rsidRPr="00510EB3" w:rsidRDefault="00B67DA3" w:rsidP="00B67DA3">
      <w:pPr>
        <w:jc w:val="both"/>
        <w:rPr>
          <w:lang w:val="es-AR"/>
        </w:rPr>
      </w:pPr>
      <w:r w:rsidRPr="00510EB3">
        <w:rPr>
          <w:lang w:val="es-AR"/>
        </w:rPr>
        <w:t>2º) Determinar que la inviolabilidad del estudio profesional y/o jurídico trasciende el ámbito edilicio y debe extenderse a equipos informáticos, computadoras, tablets, smartphones, comunicaciones por cualquier medio, plataformas donde el profesional almacene documentación, servicios de mensajería instantánea y/o correo electrónico, servicios de almacenamiento en la nube o físicos, redes sociales y afines donde pueda existir información compartida por algún justiciable con su letrado y en tal sentido amparada por el secreto profesional.</w:t>
      </w:r>
    </w:p>
    <w:p w:rsidR="00B67DA3" w:rsidRPr="00510EB3" w:rsidRDefault="00B67DA3" w:rsidP="00B67DA3">
      <w:pPr>
        <w:jc w:val="both"/>
        <w:rPr>
          <w:lang w:val="es-AR"/>
        </w:rPr>
      </w:pPr>
    </w:p>
    <w:p w:rsidR="00B67DA3" w:rsidRPr="00510EB3" w:rsidRDefault="00B67DA3" w:rsidP="00B67DA3">
      <w:pPr>
        <w:jc w:val="both"/>
        <w:rPr>
          <w:lang w:val="es-AR"/>
        </w:rPr>
      </w:pPr>
      <w:r w:rsidRPr="00510EB3">
        <w:rPr>
          <w:lang w:val="es-AR"/>
        </w:rPr>
        <w:t>3º) Requerir a los órganos jurisdiccionales que dispongan medidas sobre un estudio profesional y/o jurídico conceptualizado de la forma precedente, que arbitren mecanismos adecuados para posibilitar el contralor por parte del Colegio de Abogados Departamental respectivo en los términos previstos en el art. 69 de la Ley 5177. Ya sea al momento de desarrollarse la actividad jurisdiccional o con posterioridad, de acuerdo a las características particulares del caso. Ello involucra particularmente la interceptación de comunicaciones o secuestro de cualquier tipo de hardware de propiedad de un letrado o con los que se facilite su ejercicio profesional.</w:t>
      </w:r>
    </w:p>
    <w:p w:rsidR="00B67DA3" w:rsidRPr="00510EB3" w:rsidRDefault="00B67DA3" w:rsidP="00B67DA3">
      <w:pPr>
        <w:jc w:val="both"/>
        <w:rPr>
          <w:lang w:val="es-AR"/>
        </w:rPr>
      </w:pPr>
    </w:p>
    <w:p w:rsidR="00B67DA3" w:rsidRPr="00510EB3" w:rsidRDefault="00B67DA3" w:rsidP="00B67DA3">
      <w:pPr>
        <w:jc w:val="both"/>
        <w:rPr>
          <w:lang w:val="es-AR"/>
        </w:rPr>
      </w:pPr>
      <w:r w:rsidRPr="00510EB3">
        <w:rPr>
          <w:lang w:val="es-AR"/>
        </w:rPr>
        <w:t>4º) Comunicar la presente resolución a la Suprema Corte de Justicia de la Provincia de Buenos Aires y a la Procuración General, solicitando que por su intermedio se informe la misma a los organismos competentes.</w:t>
      </w:r>
    </w:p>
    <w:p w:rsidR="00B67DA3" w:rsidRPr="00510EB3" w:rsidRDefault="00B67DA3" w:rsidP="00B67DA3">
      <w:pPr>
        <w:jc w:val="both"/>
        <w:rPr>
          <w:lang w:val="es-AR"/>
        </w:rPr>
      </w:pPr>
    </w:p>
    <w:p w:rsidR="00B67DA3" w:rsidRPr="00510EB3" w:rsidRDefault="00B67DA3" w:rsidP="00B67DA3">
      <w:pPr>
        <w:jc w:val="both"/>
        <w:rPr>
          <w:lang w:val="es-AR"/>
        </w:rPr>
      </w:pPr>
      <w:r w:rsidRPr="00510EB3">
        <w:rPr>
          <w:lang w:val="es-AR"/>
        </w:rPr>
        <w:t>5º) Dar difusión de la presente a los Colegios Departamentales, a los matriculados, a los demás poderes del Estado y a la Federación Argentina de Colegios de Abogados (FACA).</w:t>
      </w:r>
    </w:p>
    <w:p w:rsidR="00D27BD6" w:rsidRPr="00510EB3" w:rsidRDefault="00D27BD6" w:rsidP="00D27BD6">
      <w:pPr>
        <w:jc w:val="both"/>
        <w:rPr>
          <w:lang w:val="es-AR"/>
        </w:rPr>
      </w:pPr>
      <w:bookmarkStart w:id="0" w:name="_GoBack"/>
      <w:bookmarkEnd w:id="0"/>
    </w:p>
    <w:sectPr w:rsidR="00D27BD6" w:rsidRPr="00510EB3" w:rsidSect="00F366EE">
      <w:pgSz w:w="11906" w:h="16838" w:code="9"/>
      <w:pgMar w:top="1701" w:right="113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40DDB"/>
    <w:multiLevelType w:val="hybridMultilevel"/>
    <w:tmpl w:val="BD04E7B6"/>
    <w:lvl w:ilvl="0" w:tplc="9F60CED8">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1">
    <w:nsid w:val="3F2E1831"/>
    <w:multiLevelType w:val="hybridMultilevel"/>
    <w:tmpl w:val="ABAEB7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E734DD1"/>
    <w:multiLevelType w:val="hybridMultilevel"/>
    <w:tmpl w:val="18E21222"/>
    <w:lvl w:ilvl="0" w:tplc="068467B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47B30E0"/>
    <w:multiLevelType w:val="hybridMultilevel"/>
    <w:tmpl w:val="B27AA57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A12341B"/>
    <w:multiLevelType w:val="hybridMultilevel"/>
    <w:tmpl w:val="6E008D2C"/>
    <w:lvl w:ilvl="0" w:tplc="6D0AB4B0">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nsid w:val="5BFE5916"/>
    <w:multiLevelType w:val="hybridMultilevel"/>
    <w:tmpl w:val="2E26F426"/>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decimal"/>
      <w:lvlText w:val="%6."/>
      <w:lvlJc w:val="left"/>
      <w:pPr>
        <w:tabs>
          <w:tab w:val="num" w:pos="4320"/>
        </w:tabs>
        <w:ind w:left="4320" w:hanging="360"/>
      </w:pPr>
    </w:lvl>
    <w:lvl w:ilvl="6" w:tplc="2C0A000F">
      <w:start w:val="1"/>
      <w:numFmt w:val="decimal"/>
      <w:lvlText w:val="%7."/>
      <w:lvlJc w:val="left"/>
      <w:pPr>
        <w:tabs>
          <w:tab w:val="num" w:pos="5040"/>
        </w:tabs>
        <w:ind w:left="5040" w:hanging="360"/>
      </w:pPr>
    </w:lvl>
    <w:lvl w:ilvl="7" w:tplc="2C0A0019">
      <w:start w:val="1"/>
      <w:numFmt w:val="decimal"/>
      <w:lvlText w:val="%8."/>
      <w:lvlJc w:val="left"/>
      <w:pPr>
        <w:tabs>
          <w:tab w:val="num" w:pos="5760"/>
        </w:tabs>
        <w:ind w:left="5760" w:hanging="360"/>
      </w:pPr>
    </w:lvl>
    <w:lvl w:ilvl="8" w:tplc="2C0A001B">
      <w:start w:val="1"/>
      <w:numFmt w:val="decimal"/>
      <w:lvlText w:val="%9."/>
      <w:lvlJc w:val="left"/>
      <w:pPr>
        <w:tabs>
          <w:tab w:val="num" w:pos="6480"/>
        </w:tabs>
        <w:ind w:left="6480" w:hanging="360"/>
      </w:pPr>
    </w:lvl>
  </w:abstractNum>
  <w:abstractNum w:abstractNumId="6">
    <w:nsid w:val="63A8736D"/>
    <w:multiLevelType w:val="hybridMultilevel"/>
    <w:tmpl w:val="181662AC"/>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707D4892"/>
    <w:multiLevelType w:val="hybridMultilevel"/>
    <w:tmpl w:val="3F1A5230"/>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7344508D"/>
    <w:multiLevelType w:val="hybridMultilevel"/>
    <w:tmpl w:val="4C1423F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94"/>
    <w:rsid w:val="000028BE"/>
    <w:rsid w:val="00013813"/>
    <w:rsid w:val="0001551A"/>
    <w:rsid w:val="00016008"/>
    <w:rsid w:val="00037DEA"/>
    <w:rsid w:val="000504EA"/>
    <w:rsid w:val="000538D1"/>
    <w:rsid w:val="00057699"/>
    <w:rsid w:val="00060F57"/>
    <w:rsid w:val="00067A98"/>
    <w:rsid w:val="00082673"/>
    <w:rsid w:val="0008767F"/>
    <w:rsid w:val="000B68D7"/>
    <w:rsid w:val="000C0F4E"/>
    <w:rsid w:val="000D1982"/>
    <w:rsid w:val="000D6D14"/>
    <w:rsid w:val="00140013"/>
    <w:rsid w:val="00150D7B"/>
    <w:rsid w:val="00150E76"/>
    <w:rsid w:val="00153869"/>
    <w:rsid w:val="00157618"/>
    <w:rsid w:val="00161625"/>
    <w:rsid w:val="00163B66"/>
    <w:rsid w:val="00166840"/>
    <w:rsid w:val="001E360B"/>
    <w:rsid w:val="0021064C"/>
    <w:rsid w:val="00245BA4"/>
    <w:rsid w:val="00266A92"/>
    <w:rsid w:val="002707EA"/>
    <w:rsid w:val="002711E0"/>
    <w:rsid w:val="002A21F3"/>
    <w:rsid w:val="002D51C5"/>
    <w:rsid w:val="002F3AEE"/>
    <w:rsid w:val="003315FD"/>
    <w:rsid w:val="003443A9"/>
    <w:rsid w:val="0034559F"/>
    <w:rsid w:val="00354EC9"/>
    <w:rsid w:val="00366670"/>
    <w:rsid w:val="00374DB5"/>
    <w:rsid w:val="003B00D8"/>
    <w:rsid w:val="003B7AC7"/>
    <w:rsid w:val="003C10C1"/>
    <w:rsid w:val="003C48A2"/>
    <w:rsid w:val="003D5C8E"/>
    <w:rsid w:val="003F21F6"/>
    <w:rsid w:val="003F66C7"/>
    <w:rsid w:val="0041452D"/>
    <w:rsid w:val="00440963"/>
    <w:rsid w:val="00441B7A"/>
    <w:rsid w:val="00445058"/>
    <w:rsid w:val="00447352"/>
    <w:rsid w:val="004637E7"/>
    <w:rsid w:val="004869B2"/>
    <w:rsid w:val="00497B4C"/>
    <w:rsid w:val="004B08AD"/>
    <w:rsid w:val="004B1002"/>
    <w:rsid w:val="004B590A"/>
    <w:rsid w:val="004B6891"/>
    <w:rsid w:val="004D2B79"/>
    <w:rsid w:val="004F6CF1"/>
    <w:rsid w:val="00502563"/>
    <w:rsid w:val="00510EB3"/>
    <w:rsid w:val="00512E53"/>
    <w:rsid w:val="00514982"/>
    <w:rsid w:val="00544655"/>
    <w:rsid w:val="005806A6"/>
    <w:rsid w:val="0058485A"/>
    <w:rsid w:val="005A635F"/>
    <w:rsid w:val="005F0DCC"/>
    <w:rsid w:val="005F6633"/>
    <w:rsid w:val="00633B7B"/>
    <w:rsid w:val="006348B3"/>
    <w:rsid w:val="006352D3"/>
    <w:rsid w:val="00655BE1"/>
    <w:rsid w:val="006570C7"/>
    <w:rsid w:val="006967C1"/>
    <w:rsid w:val="006B170B"/>
    <w:rsid w:val="006D3287"/>
    <w:rsid w:val="006F3311"/>
    <w:rsid w:val="00731D1B"/>
    <w:rsid w:val="00740872"/>
    <w:rsid w:val="00741649"/>
    <w:rsid w:val="0076202F"/>
    <w:rsid w:val="00776703"/>
    <w:rsid w:val="007924BF"/>
    <w:rsid w:val="007E361E"/>
    <w:rsid w:val="00813DAF"/>
    <w:rsid w:val="008168BE"/>
    <w:rsid w:val="00817149"/>
    <w:rsid w:val="0082430F"/>
    <w:rsid w:val="00834E53"/>
    <w:rsid w:val="00853563"/>
    <w:rsid w:val="00884C8A"/>
    <w:rsid w:val="008A7B7A"/>
    <w:rsid w:val="008D2046"/>
    <w:rsid w:val="008F5543"/>
    <w:rsid w:val="00931352"/>
    <w:rsid w:val="0093194C"/>
    <w:rsid w:val="0095365A"/>
    <w:rsid w:val="00963C9E"/>
    <w:rsid w:val="00985E10"/>
    <w:rsid w:val="009864CF"/>
    <w:rsid w:val="009932B7"/>
    <w:rsid w:val="009A6A1B"/>
    <w:rsid w:val="009B3C8B"/>
    <w:rsid w:val="009D1968"/>
    <w:rsid w:val="009E310A"/>
    <w:rsid w:val="00A13550"/>
    <w:rsid w:val="00A13D65"/>
    <w:rsid w:val="00A37355"/>
    <w:rsid w:val="00A54035"/>
    <w:rsid w:val="00A54368"/>
    <w:rsid w:val="00AA79F6"/>
    <w:rsid w:val="00AB47EA"/>
    <w:rsid w:val="00AC708E"/>
    <w:rsid w:val="00AF005E"/>
    <w:rsid w:val="00AF349D"/>
    <w:rsid w:val="00AF4F94"/>
    <w:rsid w:val="00B13A80"/>
    <w:rsid w:val="00B458FA"/>
    <w:rsid w:val="00B5389F"/>
    <w:rsid w:val="00B6095D"/>
    <w:rsid w:val="00B61459"/>
    <w:rsid w:val="00B67DA3"/>
    <w:rsid w:val="00B70B68"/>
    <w:rsid w:val="00B770E6"/>
    <w:rsid w:val="00B77D9B"/>
    <w:rsid w:val="00B83739"/>
    <w:rsid w:val="00B860A7"/>
    <w:rsid w:val="00BB2180"/>
    <w:rsid w:val="00BB58D5"/>
    <w:rsid w:val="00BD1396"/>
    <w:rsid w:val="00BD485D"/>
    <w:rsid w:val="00BD77BC"/>
    <w:rsid w:val="00BD7BC5"/>
    <w:rsid w:val="00BE56DB"/>
    <w:rsid w:val="00BF4D5D"/>
    <w:rsid w:val="00C507F1"/>
    <w:rsid w:val="00C51D14"/>
    <w:rsid w:val="00CA37B0"/>
    <w:rsid w:val="00CB44D6"/>
    <w:rsid w:val="00CB5D94"/>
    <w:rsid w:val="00D02B5B"/>
    <w:rsid w:val="00D031A3"/>
    <w:rsid w:val="00D15D70"/>
    <w:rsid w:val="00D248E5"/>
    <w:rsid w:val="00D27BD6"/>
    <w:rsid w:val="00D524FB"/>
    <w:rsid w:val="00D55FFD"/>
    <w:rsid w:val="00D60B68"/>
    <w:rsid w:val="00D66BA7"/>
    <w:rsid w:val="00D66DF7"/>
    <w:rsid w:val="00DA64DE"/>
    <w:rsid w:val="00DC757D"/>
    <w:rsid w:val="00DE5E4D"/>
    <w:rsid w:val="00DF401D"/>
    <w:rsid w:val="00E032B4"/>
    <w:rsid w:val="00E11DED"/>
    <w:rsid w:val="00E136E8"/>
    <w:rsid w:val="00E13BC8"/>
    <w:rsid w:val="00E2135E"/>
    <w:rsid w:val="00E37D29"/>
    <w:rsid w:val="00E44090"/>
    <w:rsid w:val="00E448B7"/>
    <w:rsid w:val="00EB20FF"/>
    <w:rsid w:val="00EC1B76"/>
    <w:rsid w:val="00F009B1"/>
    <w:rsid w:val="00F0104C"/>
    <w:rsid w:val="00F161DB"/>
    <w:rsid w:val="00F366EE"/>
    <w:rsid w:val="00F6061B"/>
    <w:rsid w:val="00F64B49"/>
    <w:rsid w:val="00F90A64"/>
    <w:rsid w:val="00FA03B2"/>
    <w:rsid w:val="00FA23ED"/>
    <w:rsid w:val="00FA67EA"/>
    <w:rsid w:val="00FB2AE7"/>
    <w:rsid w:val="00FB3287"/>
    <w:rsid w:val="00FB54A4"/>
    <w:rsid w:val="00FC5849"/>
    <w:rsid w:val="00FD189C"/>
    <w:rsid w:val="00FD316F"/>
    <w:rsid w:val="00FE0F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1F7B05-3D63-4F3E-B632-A2707007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3B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D15D70"/>
    <w:pPr>
      <w:ind w:left="720"/>
      <w:contextualSpacing/>
    </w:pPr>
    <w:rPr>
      <w:rFonts w:eastAsia="Calibri"/>
    </w:rPr>
  </w:style>
  <w:style w:type="paragraph" w:styleId="NormalWeb">
    <w:name w:val="Normal (Web)"/>
    <w:basedOn w:val="Normal"/>
    <w:rsid w:val="00FC5849"/>
    <w:pPr>
      <w:spacing w:before="100" w:beforeAutospacing="1" w:after="100" w:afterAutospacing="1"/>
    </w:pPr>
  </w:style>
  <w:style w:type="paragraph" w:styleId="Textodeglobo">
    <w:name w:val="Balloon Text"/>
    <w:basedOn w:val="Normal"/>
    <w:semiHidden/>
    <w:rsid w:val="00CA37B0"/>
    <w:rPr>
      <w:rFonts w:ascii="Tahoma" w:hAnsi="Tahoma" w:cs="Tahoma"/>
      <w:sz w:val="16"/>
      <w:szCs w:val="16"/>
    </w:rPr>
  </w:style>
  <w:style w:type="character" w:styleId="Textoennegrita">
    <w:name w:val="Strong"/>
    <w:basedOn w:val="Fuentedeprrafopredeter"/>
    <w:uiPriority w:val="22"/>
    <w:qFormat/>
    <w:rsid w:val="00AB47EA"/>
    <w:rPr>
      <w:b/>
      <w:bCs/>
    </w:rPr>
  </w:style>
  <w:style w:type="paragraph" w:styleId="Prrafodelista">
    <w:name w:val="List Paragraph"/>
    <w:basedOn w:val="Normal"/>
    <w:uiPriority w:val="34"/>
    <w:qFormat/>
    <w:rsid w:val="00AB47EA"/>
    <w:pPr>
      <w:ind w:left="720"/>
      <w:contextualSpacing/>
    </w:pPr>
  </w:style>
  <w:style w:type="character" w:styleId="Hipervnculo">
    <w:name w:val="Hyperlink"/>
    <w:basedOn w:val="Fuentedeprrafopredeter"/>
    <w:uiPriority w:val="99"/>
    <w:rsid w:val="00B13A80"/>
    <w:rPr>
      <w:color w:val="0000FF" w:themeColor="hyperlink"/>
      <w:u w:val="single"/>
    </w:rPr>
  </w:style>
  <w:style w:type="character" w:styleId="Refdecomentario">
    <w:name w:val="annotation reference"/>
    <w:basedOn w:val="Fuentedeprrafopredeter"/>
    <w:semiHidden/>
    <w:unhideWhenUsed/>
    <w:rsid w:val="00BD485D"/>
    <w:rPr>
      <w:sz w:val="16"/>
      <w:szCs w:val="16"/>
    </w:rPr>
  </w:style>
  <w:style w:type="paragraph" w:styleId="Textocomentario">
    <w:name w:val="annotation text"/>
    <w:basedOn w:val="Normal"/>
    <w:link w:val="TextocomentarioCar"/>
    <w:semiHidden/>
    <w:unhideWhenUsed/>
    <w:rsid w:val="00BD485D"/>
    <w:rPr>
      <w:sz w:val="20"/>
      <w:szCs w:val="20"/>
    </w:rPr>
  </w:style>
  <w:style w:type="character" w:customStyle="1" w:styleId="TextocomentarioCar">
    <w:name w:val="Texto comentario Car"/>
    <w:basedOn w:val="Fuentedeprrafopredeter"/>
    <w:link w:val="Textocomentario"/>
    <w:semiHidden/>
    <w:rsid w:val="00BD485D"/>
  </w:style>
  <w:style w:type="paragraph" w:styleId="Asuntodelcomentario">
    <w:name w:val="annotation subject"/>
    <w:basedOn w:val="Textocomentario"/>
    <w:next w:val="Textocomentario"/>
    <w:link w:val="AsuntodelcomentarioCar"/>
    <w:semiHidden/>
    <w:unhideWhenUsed/>
    <w:rsid w:val="00BD485D"/>
    <w:rPr>
      <w:b/>
      <w:bCs/>
    </w:rPr>
  </w:style>
  <w:style w:type="character" w:customStyle="1" w:styleId="AsuntodelcomentarioCar">
    <w:name w:val="Asunto del comentario Car"/>
    <w:basedOn w:val="TextocomentarioCar"/>
    <w:link w:val="Asuntodelcomentario"/>
    <w:semiHidden/>
    <w:rsid w:val="00BD4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483">
      <w:bodyDiv w:val="1"/>
      <w:marLeft w:val="0"/>
      <w:marRight w:val="0"/>
      <w:marTop w:val="0"/>
      <w:marBottom w:val="0"/>
      <w:divBdr>
        <w:top w:val="none" w:sz="0" w:space="0" w:color="auto"/>
        <w:left w:val="none" w:sz="0" w:space="0" w:color="auto"/>
        <w:bottom w:val="none" w:sz="0" w:space="0" w:color="auto"/>
        <w:right w:val="none" w:sz="0" w:space="0" w:color="auto"/>
      </w:divBdr>
    </w:div>
    <w:div w:id="106778031">
      <w:bodyDiv w:val="1"/>
      <w:marLeft w:val="0"/>
      <w:marRight w:val="0"/>
      <w:marTop w:val="0"/>
      <w:marBottom w:val="0"/>
      <w:divBdr>
        <w:top w:val="none" w:sz="0" w:space="0" w:color="auto"/>
        <w:left w:val="none" w:sz="0" w:space="0" w:color="auto"/>
        <w:bottom w:val="none" w:sz="0" w:space="0" w:color="auto"/>
        <w:right w:val="none" w:sz="0" w:space="0" w:color="auto"/>
      </w:divBdr>
    </w:div>
    <w:div w:id="168106875">
      <w:bodyDiv w:val="1"/>
      <w:marLeft w:val="0"/>
      <w:marRight w:val="0"/>
      <w:marTop w:val="0"/>
      <w:marBottom w:val="0"/>
      <w:divBdr>
        <w:top w:val="none" w:sz="0" w:space="0" w:color="auto"/>
        <w:left w:val="none" w:sz="0" w:space="0" w:color="auto"/>
        <w:bottom w:val="none" w:sz="0" w:space="0" w:color="auto"/>
        <w:right w:val="none" w:sz="0" w:space="0" w:color="auto"/>
      </w:divBdr>
      <w:divsChild>
        <w:div w:id="339703656">
          <w:marLeft w:val="0"/>
          <w:marRight w:val="0"/>
          <w:marTop w:val="0"/>
          <w:marBottom w:val="0"/>
          <w:divBdr>
            <w:top w:val="none" w:sz="0" w:space="0" w:color="auto"/>
            <w:left w:val="none" w:sz="0" w:space="0" w:color="auto"/>
            <w:bottom w:val="none" w:sz="0" w:space="0" w:color="auto"/>
            <w:right w:val="none" w:sz="0" w:space="0" w:color="auto"/>
          </w:divBdr>
        </w:div>
      </w:divsChild>
    </w:div>
    <w:div w:id="640156079">
      <w:bodyDiv w:val="1"/>
      <w:marLeft w:val="0"/>
      <w:marRight w:val="0"/>
      <w:marTop w:val="0"/>
      <w:marBottom w:val="0"/>
      <w:divBdr>
        <w:top w:val="none" w:sz="0" w:space="0" w:color="auto"/>
        <w:left w:val="none" w:sz="0" w:space="0" w:color="auto"/>
        <w:bottom w:val="none" w:sz="0" w:space="0" w:color="auto"/>
        <w:right w:val="none" w:sz="0" w:space="0" w:color="auto"/>
      </w:divBdr>
      <w:divsChild>
        <w:div w:id="40787943">
          <w:marLeft w:val="0"/>
          <w:marRight w:val="0"/>
          <w:marTop w:val="0"/>
          <w:marBottom w:val="0"/>
          <w:divBdr>
            <w:top w:val="none" w:sz="0" w:space="0" w:color="auto"/>
            <w:left w:val="none" w:sz="0" w:space="0" w:color="auto"/>
            <w:bottom w:val="none" w:sz="0" w:space="0" w:color="auto"/>
            <w:right w:val="none" w:sz="0" w:space="0" w:color="auto"/>
          </w:divBdr>
        </w:div>
        <w:div w:id="205415567">
          <w:marLeft w:val="0"/>
          <w:marRight w:val="0"/>
          <w:marTop w:val="0"/>
          <w:marBottom w:val="0"/>
          <w:divBdr>
            <w:top w:val="none" w:sz="0" w:space="0" w:color="auto"/>
            <w:left w:val="none" w:sz="0" w:space="0" w:color="auto"/>
            <w:bottom w:val="none" w:sz="0" w:space="0" w:color="auto"/>
            <w:right w:val="none" w:sz="0" w:space="0" w:color="auto"/>
          </w:divBdr>
        </w:div>
        <w:div w:id="224723765">
          <w:marLeft w:val="0"/>
          <w:marRight w:val="0"/>
          <w:marTop w:val="0"/>
          <w:marBottom w:val="0"/>
          <w:divBdr>
            <w:top w:val="none" w:sz="0" w:space="0" w:color="auto"/>
            <w:left w:val="none" w:sz="0" w:space="0" w:color="auto"/>
            <w:bottom w:val="none" w:sz="0" w:space="0" w:color="auto"/>
            <w:right w:val="none" w:sz="0" w:space="0" w:color="auto"/>
          </w:divBdr>
        </w:div>
        <w:div w:id="318581909">
          <w:marLeft w:val="0"/>
          <w:marRight w:val="0"/>
          <w:marTop w:val="0"/>
          <w:marBottom w:val="0"/>
          <w:divBdr>
            <w:top w:val="none" w:sz="0" w:space="0" w:color="auto"/>
            <w:left w:val="none" w:sz="0" w:space="0" w:color="auto"/>
            <w:bottom w:val="none" w:sz="0" w:space="0" w:color="auto"/>
            <w:right w:val="none" w:sz="0" w:space="0" w:color="auto"/>
          </w:divBdr>
        </w:div>
        <w:div w:id="336464823">
          <w:marLeft w:val="0"/>
          <w:marRight w:val="0"/>
          <w:marTop w:val="0"/>
          <w:marBottom w:val="0"/>
          <w:divBdr>
            <w:top w:val="none" w:sz="0" w:space="0" w:color="auto"/>
            <w:left w:val="none" w:sz="0" w:space="0" w:color="auto"/>
            <w:bottom w:val="none" w:sz="0" w:space="0" w:color="auto"/>
            <w:right w:val="none" w:sz="0" w:space="0" w:color="auto"/>
          </w:divBdr>
        </w:div>
        <w:div w:id="576474374">
          <w:marLeft w:val="0"/>
          <w:marRight w:val="0"/>
          <w:marTop w:val="0"/>
          <w:marBottom w:val="0"/>
          <w:divBdr>
            <w:top w:val="none" w:sz="0" w:space="0" w:color="auto"/>
            <w:left w:val="none" w:sz="0" w:space="0" w:color="auto"/>
            <w:bottom w:val="none" w:sz="0" w:space="0" w:color="auto"/>
            <w:right w:val="none" w:sz="0" w:space="0" w:color="auto"/>
          </w:divBdr>
        </w:div>
        <w:div w:id="588152248">
          <w:marLeft w:val="0"/>
          <w:marRight w:val="0"/>
          <w:marTop w:val="0"/>
          <w:marBottom w:val="0"/>
          <w:divBdr>
            <w:top w:val="none" w:sz="0" w:space="0" w:color="auto"/>
            <w:left w:val="none" w:sz="0" w:space="0" w:color="auto"/>
            <w:bottom w:val="none" w:sz="0" w:space="0" w:color="auto"/>
            <w:right w:val="none" w:sz="0" w:space="0" w:color="auto"/>
          </w:divBdr>
        </w:div>
        <w:div w:id="887954964">
          <w:marLeft w:val="0"/>
          <w:marRight w:val="0"/>
          <w:marTop w:val="0"/>
          <w:marBottom w:val="0"/>
          <w:divBdr>
            <w:top w:val="none" w:sz="0" w:space="0" w:color="auto"/>
            <w:left w:val="none" w:sz="0" w:space="0" w:color="auto"/>
            <w:bottom w:val="none" w:sz="0" w:space="0" w:color="auto"/>
            <w:right w:val="none" w:sz="0" w:space="0" w:color="auto"/>
          </w:divBdr>
        </w:div>
        <w:div w:id="922952869">
          <w:marLeft w:val="0"/>
          <w:marRight w:val="0"/>
          <w:marTop w:val="0"/>
          <w:marBottom w:val="0"/>
          <w:divBdr>
            <w:top w:val="none" w:sz="0" w:space="0" w:color="auto"/>
            <w:left w:val="none" w:sz="0" w:space="0" w:color="auto"/>
            <w:bottom w:val="none" w:sz="0" w:space="0" w:color="auto"/>
            <w:right w:val="none" w:sz="0" w:space="0" w:color="auto"/>
          </w:divBdr>
        </w:div>
        <w:div w:id="1032418700">
          <w:marLeft w:val="0"/>
          <w:marRight w:val="0"/>
          <w:marTop w:val="0"/>
          <w:marBottom w:val="0"/>
          <w:divBdr>
            <w:top w:val="none" w:sz="0" w:space="0" w:color="auto"/>
            <w:left w:val="none" w:sz="0" w:space="0" w:color="auto"/>
            <w:bottom w:val="none" w:sz="0" w:space="0" w:color="auto"/>
            <w:right w:val="none" w:sz="0" w:space="0" w:color="auto"/>
          </w:divBdr>
        </w:div>
        <w:div w:id="1332177000">
          <w:marLeft w:val="0"/>
          <w:marRight w:val="0"/>
          <w:marTop w:val="0"/>
          <w:marBottom w:val="0"/>
          <w:divBdr>
            <w:top w:val="none" w:sz="0" w:space="0" w:color="auto"/>
            <w:left w:val="none" w:sz="0" w:space="0" w:color="auto"/>
            <w:bottom w:val="none" w:sz="0" w:space="0" w:color="auto"/>
            <w:right w:val="none" w:sz="0" w:space="0" w:color="auto"/>
          </w:divBdr>
        </w:div>
        <w:div w:id="1386372630">
          <w:marLeft w:val="0"/>
          <w:marRight w:val="0"/>
          <w:marTop w:val="0"/>
          <w:marBottom w:val="0"/>
          <w:divBdr>
            <w:top w:val="none" w:sz="0" w:space="0" w:color="auto"/>
            <w:left w:val="none" w:sz="0" w:space="0" w:color="auto"/>
            <w:bottom w:val="none" w:sz="0" w:space="0" w:color="auto"/>
            <w:right w:val="none" w:sz="0" w:space="0" w:color="auto"/>
          </w:divBdr>
        </w:div>
        <w:div w:id="1528106141">
          <w:marLeft w:val="0"/>
          <w:marRight w:val="0"/>
          <w:marTop w:val="0"/>
          <w:marBottom w:val="0"/>
          <w:divBdr>
            <w:top w:val="none" w:sz="0" w:space="0" w:color="auto"/>
            <w:left w:val="none" w:sz="0" w:space="0" w:color="auto"/>
            <w:bottom w:val="none" w:sz="0" w:space="0" w:color="auto"/>
            <w:right w:val="none" w:sz="0" w:space="0" w:color="auto"/>
          </w:divBdr>
        </w:div>
        <w:div w:id="1636136729">
          <w:marLeft w:val="0"/>
          <w:marRight w:val="0"/>
          <w:marTop w:val="0"/>
          <w:marBottom w:val="0"/>
          <w:divBdr>
            <w:top w:val="none" w:sz="0" w:space="0" w:color="auto"/>
            <w:left w:val="none" w:sz="0" w:space="0" w:color="auto"/>
            <w:bottom w:val="none" w:sz="0" w:space="0" w:color="auto"/>
            <w:right w:val="none" w:sz="0" w:space="0" w:color="auto"/>
          </w:divBdr>
        </w:div>
        <w:div w:id="1692103288">
          <w:marLeft w:val="0"/>
          <w:marRight w:val="0"/>
          <w:marTop w:val="0"/>
          <w:marBottom w:val="0"/>
          <w:divBdr>
            <w:top w:val="none" w:sz="0" w:space="0" w:color="auto"/>
            <w:left w:val="none" w:sz="0" w:space="0" w:color="auto"/>
            <w:bottom w:val="none" w:sz="0" w:space="0" w:color="auto"/>
            <w:right w:val="none" w:sz="0" w:space="0" w:color="auto"/>
          </w:divBdr>
        </w:div>
        <w:div w:id="1695225297">
          <w:marLeft w:val="0"/>
          <w:marRight w:val="0"/>
          <w:marTop w:val="0"/>
          <w:marBottom w:val="0"/>
          <w:divBdr>
            <w:top w:val="none" w:sz="0" w:space="0" w:color="auto"/>
            <w:left w:val="none" w:sz="0" w:space="0" w:color="auto"/>
            <w:bottom w:val="none" w:sz="0" w:space="0" w:color="auto"/>
            <w:right w:val="none" w:sz="0" w:space="0" w:color="auto"/>
          </w:divBdr>
        </w:div>
        <w:div w:id="1780221894">
          <w:marLeft w:val="0"/>
          <w:marRight w:val="0"/>
          <w:marTop w:val="0"/>
          <w:marBottom w:val="0"/>
          <w:divBdr>
            <w:top w:val="none" w:sz="0" w:space="0" w:color="auto"/>
            <w:left w:val="none" w:sz="0" w:space="0" w:color="auto"/>
            <w:bottom w:val="none" w:sz="0" w:space="0" w:color="auto"/>
            <w:right w:val="none" w:sz="0" w:space="0" w:color="auto"/>
          </w:divBdr>
        </w:div>
        <w:div w:id="1823497263">
          <w:marLeft w:val="0"/>
          <w:marRight w:val="0"/>
          <w:marTop w:val="0"/>
          <w:marBottom w:val="0"/>
          <w:divBdr>
            <w:top w:val="none" w:sz="0" w:space="0" w:color="auto"/>
            <w:left w:val="none" w:sz="0" w:space="0" w:color="auto"/>
            <w:bottom w:val="none" w:sz="0" w:space="0" w:color="auto"/>
            <w:right w:val="none" w:sz="0" w:space="0" w:color="auto"/>
          </w:divBdr>
        </w:div>
        <w:div w:id="1879128013">
          <w:marLeft w:val="0"/>
          <w:marRight w:val="0"/>
          <w:marTop w:val="0"/>
          <w:marBottom w:val="0"/>
          <w:divBdr>
            <w:top w:val="none" w:sz="0" w:space="0" w:color="auto"/>
            <w:left w:val="none" w:sz="0" w:space="0" w:color="auto"/>
            <w:bottom w:val="none" w:sz="0" w:space="0" w:color="auto"/>
            <w:right w:val="none" w:sz="0" w:space="0" w:color="auto"/>
          </w:divBdr>
        </w:div>
        <w:div w:id="1991253697">
          <w:marLeft w:val="0"/>
          <w:marRight w:val="0"/>
          <w:marTop w:val="0"/>
          <w:marBottom w:val="0"/>
          <w:divBdr>
            <w:top w:val="none" w:sz="0" w:space="0" w:color="auto"/>
            <w:left w:val="none" w:sz="0" w:space="0" w:color="auto"/>
            <w:bottom w:val="none" w:sz="0" w:space="0" w:color="auto"/>
            <w:right w:val="none" w:sz="0" w:space="0" w:color="auto"/>
          </w:divBdr>
        </w:div>
        <w:div w:id="2103600869">
          <w:marLeft w:val="0"/>
          <w:marRight w:val="0"/>
          <w:marTop w:val="0"/>
          <w:marBottom w:val="0"/>
          <w:divBdr>
            <w:top w:val="none" w:sz="0" w:space="0" w:color="auto"/>
            <w:left w:val="none" w:sz="0" w:space="0" w:color="auto"/>
            <w:bottom w:val="none" w:sz="0" w:space="0" w:color="auto"/>
            <w:right w:val="none" w:sz="0" w:space="0" w:color="auto"/>
          </w:divBdr>
        </w:div>
        <w:div w:id="2146578804">
          <w:marLeft w:val="0"/>
          <w:marRight w:val="0"/>
          <w:marTop w:val="0"/>
          <w:marBottom w:val="0"/>
          <w:divBdr>
            <w:top w:val="none" w:sz="0" w:space="0" w:color="auto"/>
            <w:left w:val="none" w:sz="0" w:space="0" w:color="auto"/>
            <w:bottom w:val="none" w:sz="0" w:space="0" w:color="auto"/>
            <w:right w:val="none" w:sz="0" w:space="0" w:color="auto"/>
          </w:divBdr>
        </w:div>
      </w:divsChild>
    </w:div>
    <w:div w:id="849492807">
      <w:bodyDiv w:val="1"/>
      <w:marLeft w:val="0"/>
      <w:marRight w:val="0"/>
      <w:marTop w:val="0"/>
      <w:marBottom w:val="0"/>
      <w:divBdr>
        <w:top w:val="none" w:sz="0" w:space="0" w:color="auto"/>
        <w:left w:val="none" w:sz="0" w:space="0" w:color="auto"/>
        <w:bottom w:val="none" w:sz="0" w:space="0" w:color="auto"/>
        <w:right w:val="none" w:sz="0" w:space="0" w:color="auto"/>
      </w:divBdr>
    </w:div>
    <w:div w:id="1008215558">
      <w:bodyDiv w:val="1"/>
      <w:marLeft w:val="0"/>
      <w:marRight w:val="0"/>
      <w:marTop w:val="0"/>
      <w:marBottom w:val="0"/>
      <w:divBdr>
        <w:top w:val="none" w:sz="0" w:space="0" w:color="auto"/>
        <w:left w:val="none" w:sz="0" w:space="0" w:color="auto"/>
        <w:bottom w:val="none" w:sz="0" w:space="0" w:color="auto"/>
        <w:right w:val="none" w:sz="0" w:space="0" w:color="auto"/>
      </w:divBdr>
    </w:div>
    <w:div w:id="1056733577">
      <w:bodyDiv w:val="1"/>
      <w:marLeft w:val="0"/>
      <w:marRight w:val="0"/>
      <w:marTop w:val="0"/>
      <w:marBottom w:val="0"/>
      <w:divBdr>
        <w:top w:val="none" w:sz="0" w:space="0" w:color="auto"/>
        <w:left w:val="none" w:sz="0" w:space="0" w:color="auto"/>
        <w:bottom w:val="none" w:sz="0" w:space="0" w:color="auto"/>
        <w:right w:val="none" w:sz="0" w:space="0" w:color="auto"/>
      </w:divBdr>
    </w:div>
    <w:div w:id="1302878903">
      <w:bodyDiv w:val="1"/>
      <w:marLeft w:val="0"/>
      <w:marRight w:val="0"/>
      <w:marTop w:val="0"/>
      <w:marBottom w:val="0"/>
      <w:divBdr>
        <w:top w:val="none" w:sz="0" w:space="0" w:color="auto"/>
        <w:left w:val="none" w:sz="0" w:space="0" w:color="auto"/>
        <w:bottom w:val="none" w:sz="0" w:space="0" w:color="auto"/>
        <w:right w:val="none" w:sz="0" w:space="0" w:color="auto"/>
      </w:divBdr>
    </w:div>
    <w:div w:id="16611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3B221-0AB8-40E4-BF67-2A798D92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CONSEJO SUPERIOR</vt:lpstr>
    </vt:vector>
  </TitlesOfParts>
  <Company>PC NEW &amp; Services</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SUPERIOR</dc:title>
  <dc:creator>Colossus User</dc:creator>
  <cp:lastModifiedBy>Pedro</cp:lastModifiedBy>
  <cp:revision>3</cp:revision>
  <cp:lastPrinted>2020-02-14T15:13:00Z</cp:lastPrinted>
  <dcterms:created xsi:type="dcterms:W3CDTF">2020-02-14T15:20:00Z</dcterms:created>
  <dcterms:modified xsi:type="dcterms:W3CDTF">2020-02-14T15:21:00Z</dcterms:modified>
</cp:coreProperties>
</file>